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01B" w:rsidRPr="008A4A76" w:rsidRDefault="00AD201B" w:rsidP="00AD201B">
      <w:pPr>
        <w:tabs>
          <w:tab w:val="center" w:pos="5400"/>
        </w:tabs>
        <w:suppressAutoHyphens/>
        <w:rPr>
          <w:rFonts w:ascii="Arial" w:hAnsi="Arial" w:cs="Arial"/>
          <w:spacing w:val="-2"/>
          <w:sz w:val="24"/>
          <w:szCs w:val="24"/>
        </w:rPr>
      </w:pPr>
    </w:p>
    <w:p w:rsidR="00AD201B" w:rsidRPr="005E7A68" w:rsidRDefault="00AD201B" w:rsidP="007964EA">
      <w:pPr>
        <w:tabs>
          <w:tab w:val="center" w:pos="5400"/>
        </w:tabs>
        <w:suppressAutoHyphens/>
        <w:jc w:val="center"/>
        <w:rPr>
          <w:rFonts w:cs="Tahoma"/>
          <w:b/>
          <w:spacing w:val="-2"/>
          <w:sz w:val="22"/>
          <w:u w:val="single"/>
        </w:rPr>
      </w:pPr>
      <w:r w:rsidRPr="005E7A68">
        <w:rPr>
          <w:rFonts w:cs="Tahoma"/>
          <w:b/>
          <w:spacing w:val="-2"/>
          <w:sz w:val="36"/>
          <w:szCs w:val="36"/>
          <w:u w:val="single"/>
        </w:rPr>
        <w:t>APPEAL PROCEDURE - CACFP</w:t>
      </w:r>
    </w:p>
    <w:p w:rsidR="00AD201B" w:rsidRPr="008A43D2" w:rsidRDefault="00AD201B" w:rsidP="00AD201B">
      <w:pPr>
        <w:tabs>
          <w:tab w:val="left" w:pos="-720"/>
        </w:tabs>
        <w:suppressAutoHyphens/>
        <w:rPr>
          <w:rFonts w:ascii="Arial" w:hAnsi="Arial" w:cs="Arial"/>
          <w:spacing w:val="-2"/>
          <w:sz w:val="22"/>
          <w:u w:val="single"/>
        </w:rPr>
      </w:pPr>
    </w:p>
    <w:p w:rsidR="008538F1" w:rsidRPr="008538F1" w:rsidRDefault="008538F1" w:rsidP="008538F1">
      <w:pPr>
        <w:autoSpaceDE w:val="0"/>
        <w:autoSpaceDN w:val="0"/>
        <w:adjustRightInd w:val="0"/>
        <w:rPr>
          <w:rFonts w:ascii="Arial" w:eastAsiaTheme="minorHAnsi" w:hAnsi="Arial" w:cs="Arial"/>
          <w:color w:val="000000"/>
          <w:sz w:val="24"/>
          <w:szCs w:val="24"/>
        </w:rPr>
      </w:pPr>
    </w:p>
    <w:p w:rsidR="00A655F9" w:rsidRDefault="008538F1" w:rsidP="008538F1">
      <w:pPr>
        <w:tabs>
          <w:tab w:val="left" w:pos="-720"/>
        </w:tabs>
        <w:suppressAutoHyphens/>
        <w:rPr>
          <w:rFonts w:ascii="Arial" w:hAnsi="Arial" w:cs="Arial"/>
          <w:spacing w:val="-2"/>
          <w:sz w:val="24"/>
        </w:rPr>
      </w:pPr>
      <w:r w:rsidRPr="00093F09">
        <w:rPr>
          <w:rFonts w:ascii="Arial" w:eastAsiaTheme="minorHAnsi" w:hAnsi="Arial" w:cs="Arial"/>
          <w:color w:val="000000"/>
          <w:sz w:val="24"/>
        </w:rPr>
        <w:t>The Hawaii Child Nutrition Programs (HCNP), the State agency (SA), established the following procedures</w:t>
      </w:r>
      <w:r w:rsidR="00AD201B" w:rsidRPr="00093F09">
        <w:rPr>
          <w:rFonts w:ascii="Arial" w:hAnsi="Arial" w:cs="Arial"/>
          <w:spacing w:val="-2"/>
          <w:sz w:val="32"/>
        </w:rPr>
        <w:t xml:space="preserve"> </w:t>
      </w:r>
      <w:r w:rsidR="00AD201B" w:rsidRPr="00DB56A4">
        <w:rPr>
          <w:rFonts w:ascii="Arial" w:hAnsi="Arial" w:cs="Arial"/>
          <w:spacing w:val="-2"/>
          <w:sz w:val="24"/>
        </w:rPr>
        <w:t>so that an institution may request a review of a</w:t>
      </w:r>
      <w:r w:rsidR="00A655F9" w:rsidRPr="00DB56A4">
        <w:rPr>
          <w:rFonts w:ascii="Arial" w:hAnsi="Arial" w:cs="Arial"/>
          <w:spacing w:val="-2"/>
          <w:sz w:val="24"/>
        </w:rPr>
        <w:t>ny of the following:</w:t>
      </w:r>
    </w:p>
    <w:p w:rsidR="007964EA" w:rsidRPr="00DB56A4" w:rsidRDefault="007964EA" w:rsidP="00AD201B">
      <w:pPr>
        <w:tabs>
          <w:tab w:val="left" w:pos="-720"/>
        </w:tabs>
        <w:suppressAutoHyphens/>
        <w:rPr>
          <w:rFonts w:ascii="Arial" w:hAnsi="Arial" w:cs="Arial"/>
          <w:spacing w:val="-2"/>
          <w:sz w:val="24"/>
        </w:rPr>
      </w:pPr>
    </w:p>
    <w:p w:rsidR="00A655F9" w:rsidRPr="00DB56A4" w:rsidRDefault="00AD201B" w:rsidP="00A655F9">
      <w:pPr>
        <w:pStyle w:val="ListParagraph"/>
        <w:numPr>
          <w:ilvl w:val="0"/>
          <w:numId w:val="2"/>
        </w:numPr>
        <w:tabs>
          <w:tab w:val="left" w:pos="-720"/>
        </w:tabs>
        <w:suppressAutoHyphens/>
        <w:rPr>
          <w:rFonts w:ascii="Arial" w:hAnsi="Arial" w:cs="Arial"/>
          <w:spacing w:val="-2"/>
          <w:sz w:val="24"/>
        </w:rPr>
      </w:pPr>
      <w:r w:rsidRPr="00DB56A4">
        <w:rPr>
          <w:rFonts w:ascii="Arial" w:hAnsi="Arial" w:cs="Arial"/>
          <w:spacing w:val="-2"/>
          <w:sz w:val="24"/>
        </w:rPr>
        <w:t xml:space="preserve">denial of an institution's </w:t>
      </w:r>
      <w:r w:rsidR="00A655F9" w:rsidRPr="00DB56A4">
        <w:rPr>
          <w:rFonts w:ascii="Arial" w:hAnsi="Arial" w:cs="Arial"/>
          <w:spacing w:val="-2"/>
          <w:sz w:val="24"/>
        </w:rPr>
        <w:t>application for participation,</w:t>
      </w:r>
    </w:p>
    <w:p w:rsidR="00A655F9" w:rsidRPr="00DB56A4" w:rsidRDefault="00AD201B" w:rsidP="00A655F9">
      <w:pPr>
        <w:pStyle w:val="ListParagraph"/>
        <w:numPr>
          <w:ilvl w:val="0"/>
          <w:numId w:val="2"/>
        </w:numPr>
        <w:tabs>
          <w:tab w:val="left" w:pos="-720"/>
        </w:tabs>
        <w:suppressAutoHyphens/>
        <w:rPr>
          <w:rFonts w:ascii="Arial" w:hAnsi="Arial" w:cs="Arial"/>
          <w:spacing w:val="-2"/>
          <w:sz w:val="24"/>
        </w:rPr>
      </w:pPr>
      <w:r w:rsidRPr="00DB56A4">
        <w:rPr>
          <w:rFonts w:ascii="Arial" w:hAnsi="Arial" w:cs="Arial"/>
          <w:spacing w:val="-2"/>
          <w:sz w:val="24"/>
        </w:rPr>
        <w:t>denial of an application submitted by a sponsoring organiz</w:t>
      </w:r>
      <w:r w:rsidR="00A655F9" w:rsidRPr="00DB56A4">
        <w:rPr>
          <w:rFonts w:ascii="Arial" w:hAnsi="Arial" w:cs="Arial"/>
          <w:spacing w:val="-2"/>
          <w:sz w:val="24"/>
        </w:rPr>
        <w:t>ation on behalf of a facility,</w:t>
      </w:r>
    </w:p>
    <w:p w:rsidR="00A655F9" w:rsidRPr="00DB56A4" w:rsidRDefault="00C53C7A" w:rsidP="00A655F9">
      <w:pPr>
        <w:pStyle w:val="ListParagraph"/>
        <w:numPr>
          <w:ilvl w:val="0"/>
          <w:numId w:val="2"/>
        </w:numPr>
        <w:tabs>
          <w:tab w:val="left" w:pos="-720"/>
        </w:tabs>
        <w:suppressAutoHyphens/>
        <w:rPr>
          <w:rFonts w:ascii="Arial" w:hAnsi="Arial" w:cs="Arial"/>
          <w:spacing w:val="-2"/>
          <w:sz w:val="24"/>
        </w:rPr>
      </w:pPr>
      <w:r>
        <w:rPr>
          <w:rFonts w:ascii="Arial" w:hAnsi="Arial" w:cs="Arial"/>
          <w:spacing w:val="-2"/>
          <w:sz w:val="24"/>
        </w:rPr>
        <w:t xml:space="preserve">proposed </w:t>
      </w:r>
      <w:r w:rsidR="00AD201B" w:rsidRPr="00DB56A4">
        <w:rPr>
          <w:rFonts w:ascii="Arial" w:hAnsi="Arial" w:cs="Arial"/>
          <w:spacing w:val="-2"/>
          <w:sz w:val="24"/>
        </w:rPr>
        <w:t xml:space="preserve">termination </w:t>
      </w:r>
      <w:r>
        <w:rPr>
          <w:rFonts w:ascii="Arial" w:hAnsi="Arial" w:cs="Arial"/>
          <w:spacing w:val="-2"/>
          <w:sz w:val="24"/>
        </w:rPr>
        <w:t xml:space="preserve">and disqualification </w:t>
      </w:r>
      <w:r w:rsidR="00AD201B" w:rsidRPr="00DB56A4">
        <w:rPr>
          <w:rFonts w:ascii="Arial" w:hAnsi="Arial" w:cs="Arial"/>
          <w:spacing w:val="-2"/>
          <w:sz w:val="24"/>
        </w:rPr>
        <w:t xml:space="preserve">of the participation </w:t>
      </w:r>
      <w:r w:rsidR="00A655F9" w:rsidRPr="00DB56A4">
        <w:rPr>
          <w:rFonts w:ascii="Arial" w:hAnsi="Arial" w:cs="Arial"/>
          <w:spacing w:val="-2"/>
          <w:sz w:val="24"/>
        </w:rPr>
        <w:t>of an institution or facility,</w:t>
      </w:r>
    </w:p>
    <w:p w:rsidR="00A655F9" w:rsidRPr="00DB56A4" w:rsidRDefault="00AD201B" w:rsidP="00A655F9">
      <w:pPr>
        <w:pStyle w:val="ListParagraph"/>
        <w:numPr>
          <w:ilvl w:val="0"/>
          <w:numId w:val="2"/>
        </w:numPr>
        <w:tabs>
          <w:tab w:val="left" w:pos="-720"/>
        </w:tabs>
        <w:suppressAutoHyphens/>
        <w:rPr>
          <w:rFonts w:ascii="Arial" w:hAnsi="Arial" w:cs="Arial"/>
          <w:spacing w:val="-2"/>
          <w:sz w:val="24"/>
        </w:rPr>
      </w:pPr>
      <w:r w:rsidRPr="00DB56A4">
        <w:rPr>
          <w:rFonts w:ascii="Arial" w:hAnsi="Arial" w:cs="Arial"/>
          <w:spacing w:val="-2"/>
          <w:sz w:val="24"/>
        </w:rPr>
        <w:t>suspension o</w:t>
      </w:r>
      <w:r w:rsidR="00A655F9" w:rsidRPr="00DB56A4">
        <w:rPr>
          <w:rFonts w:ascii="Arial" w:hAnsi="Arial" w:cs="Arial"/>
          <w:spacing w:val="-2"/>
          <w:sz w:val="24"/>
        </w:rPr>
        <w:t>f an institution's agreement,</w:t>
      </w:r>
    </w:p>
    <w:p w:rsidR="00A655F9" w:rsidRPr="00DB56A4" w:rsidRDefault="00AD201B" w:rsidP="00A655F9">
      <w:pPr>
        <w:pStyle w:val="ListParagraph"/>
        <w:numPr>
          <w:ilvl w:val="0"/>
          <w:numId w:val="2"/>
        </w:numPr>
        <w:tabs>
          <w:tab w:val="left" w:pos="-720"/>
        </w:tabs>
        <w:suppressAutoHyphens/>
        <w:rPr>
          <w:rFonts w:ascii="Arial" w:hAnsi="Arial" w:cs="Arial"/>
          <w:spacing w:val="-2"/>
          <w:sz w:val="24"/>
        </w:rPr>
      </w:pPr>
      <w:r w:rsidRPr="00DB56A4">
        <w:rPr>
          <w:rFonts w:ascii="Arial" w:hAnsi="Arial" w:cs="Arial"/>
          <w:spacing w:val="-2"/>
          <w:sz w:val="24"/>
        </w:rPr>
        <w:t>denial of an institution's appli</w:t>
      </w:r>
      <w:r w:rsidR="00A655F9" w:rsidRPr="00DB56A4">
        <w:rPr>
          <w:rFonts w:ascii="Arial" w:hAnsi="Arial" w:cs="Arial"/>
          <w:spacing w:val="-2"/>
          <w:sz w:val="24"/>
        </w:rPr>
        <w:t>cation for start-up payments,</w:t>
      </w:r>
      <w:bookmarkStart w:id="0" w:name="_GoBack"/>
      <w:bookmarkEnd w:id="0"/>
    </w:p>
    <w:p w:rsidR="00A655F9" w:rsidRPr="00DB56A4" w:rsidRDefault="00AD201B" w:rsidP="00A655F9">
      <w:pPr>
        <w:pStyle w:val="ListParagraph"/>
        <w:numPr>
          <w:ilvl w:val="0"/>
          <w:numId w:val="2"/>
        </w:numPr>
        <w:tabs>
          <w:tab w:val="left" w:pos="-720"/>
        </w:tabs>
        <w:suppressAutoHyphens/>
        <w:rPr>
          <w:rFonts w:ascii="Arial" w:hAnsi="Arial" w:cs="Arial"/>
          <w:spacing w:val="-2"/>
          <w:sz w:val="24"/>
        </w:rPr>
      </w:pPr>
      <w:r w:rsidRPr="00DB56A4">
        <w:rPr>
          <w:rFonts w:ascii="Arial" w:hAnsi="Arial" w:cs="Arial"/>
          <w:spacing w:val="-2"/>
          <w:sz w:val="24"/>
        </w:rPr>
        <w:t xml:space="preserve">denial of all or a part of the claim for reimbursement, (except for late </w:t>
      </w:r>
      <w:r w:rsidR="00A655F9" w:rsidRPr="00DB56A4">
        <w:rPr>
          <w:rFonts w:ascii="Arial" w:hAnsi="Arial" w:cs="Arial"/>
          <w:spacing w:val="-2"/>
          <w:sz w:val="24"/>
        </w:rPr>
        <w:t>submission under § 226.10(e),</w:t>
      </w:r>
    </w:p>
    <w:p w:rsidR="00AD201B" w:rsidRPr="00DB56A4" w:rsidRDefault="00AD201B" w:rsidP="00A655F9">
      <w:pPr>
        <w:pStyle w:val="ListParagraph"/>
        <w:numPr>
          <w:ilvl w:val="0"/>
          <w:numId w:val="2"/>
        </w:numPr>
        <w:tabs>
          <w:tab w:val="left" w:pos="-720"/>
        </w:tabs>
        <w:suppressAutoHyphens/>
        <w:rPr>
          <w:rFonts w:ascii="Arial" w:hAnsi="Arial" w:cs="Arial"/>
          <w:spacing w:val="-2"/>
          <w:sz w:val="24"/>
        </w:rPr>
      </w:pPr>
      <w:r w:rsidRPr="00DB56A4">
        <w:rPr>
          <w:rFonts w:ascii="Arial" w:hAnsi="Arial" w:cs="Arial"/>
          <w:spacing w:val="-2"/>
          <w:sz w:val="24"/>
        </w:rPr>
        <w:t>denial by the State agency to forward to FNS an exception request by the institution or sponsoring organization for payment of a late claim or a request for an upward adjustment to a claim, demand for the remittance of an overpayment, and any other action of the State agency affecting the participation of an institution in the Program or the institution's claim for reimbursement.</w:t>
      </w:r>
    </w:p>
    <w:p w:rsidR="00AD201B" w:rsidRPr="00DB56A4" w:rsidRDefault="00AD201B" w:rsidP="00AD201B">
      <w:pPr>
        <w:tabs>
          <w:tab w:val="left" w:pos="-720"/>
        </w:tabs>
        <w:suppressAutoHyphens/>
        <w:rPr>
          <w:rFonts w:ascii="Arial" w:hAnsi="Arial" w:cs="Arial"/>
          <w:spacing w:val="-2"/>
          <w:sz w:val="24"/>
        </w:rPr>
      </w:pPr>
    </w:p>
    <w:p w:rsidR="00AD201B" w:rsidRPr="00DB56A4" w:rsidRDefault="00AD201B" w:rsidP="00AD201B">
      <w:pPr>
        <w:tabs>
          <w:tab w:val="left" w:pos="-720"/>
          <w:tab w:val="left" w:pos="0"/>
        </w:tabs>
        <w:suppressAutoHyphens/>
        <w:ind w:left="720" w:hanging="720"/>
        <w:rPr>
          <w:rFonts w:ascii="Arial" w:hAnsi="Arial" w:cs="Arial"/>
          <w:spacing w:val="-2"/>
          <w:sz w:val="24"/>
        </w:rPr>
      </w:pPr>
      <w:r w:rsidRPr="00DB56A4">
        <w:rPr>
          <w:rFonts w:ascii="Arial" w:hAnsi="Arial" w:cs="Arial"/>
          <w:spacing w:val="-2"/>
          <w:sz w:val="24"/>
        </w:rPr>
        <w:t>1.</w:t>
      </w:r>
      <w:r w:rsidRPr="00DB56A4">
        <w:rPr>
          <w:rFonts w:ascii="Arial" w:hAnsi="Arial" w:cs="Arial"/>
          <w:spacing w:val="-2"/>
          <w:sz w:val="24"/>
        </w:rPr>
        <w:tab/>
        <w:t>The institution shall be advised in writing of the grounds on which the State agency based its action.  The notice of action, which shall be sent by certified mail, return receipt requested, shall also include a statement indicating that the institution has the right to appeal the action.</w:t>
      </w:r>
    </w:p>
    <w:p w:rsidR="00AD201B" w:rsidRPr="00DB56A4" w:rsidRDefault="00AD201B" w:rsidP="00AD201B">
      <w:pPr>
        <w:tabs>
          <w:tab w:val="left" w:pos="-720"/>
        </w:tabs>
        <w:suppressAutoHyphens/>
        <w:rPr>
          <w:rFonts w:ascii="Arial" w:hAnsi="Arial" w:cs="Arial"/>
          <w:spacing w:val="-2"/>
          <w:sz w:val="24"/>
        </w:rPr>
      </w:pPr>
    </w:p>
    <w:p w:rsidR="00AD201B" w:rsidRPr="00DB56A4" w:rsidRDefault="00AD201B" w:rsidP="00AD201B">
      <w:pPr>
        <w:tabs>
          <w:tab w:val="left" w:pos="-720"/>
          <w:tab w:val="left" w:pos="0"/>
        </w:tabs>
        <w:suppressAutoHyphens/>
        <w:ind w:left="720" w:hanging="720"/>
        <w:rPr>
          <w:rFonts w:ascii="Arial" w:hAnsi="Arial" w:cs="Arial"/>
          <w:spacing w:val="-2"/>
          <w:sz w:val="24"/>
        </w:rPr>
      </w:pPr>
      <w:r w:rsidRPr="00DB56A4">
        <w:rPr>
          <w:rFonts w:ascii="Arial" w:hAnsi="Arial" w:cs="Arial"/>
          <w:spacing w:val="-2"/>
          <w:sz w:val="24"/>
        </w:rPr>
        <w:t>2.</w:t>
      </w:r>
      <w:r w:rsidRPr="00DB56A4">
        <w:rPr>
          <w:rFonts w:ascii="Arial" w:hAnsi="Arial" w:cs="Arial"/>
          <w:spacing w:val="-2"/>
          <w:sz w:val="24"/>
        </w:rPr>
        <w:tab/>
        <w:t xml:space="preserve">The written request for review shall be filed by the appellant not later than 15 calendar days from the date the appellant received the notice of action, and the State </w:t>
      </w:r>
      <w:r w:rsidR="00007835">
        <w:rPr>
          <w:rFonts w:ascii="Arial" w:hAnsi="Arial" w:cs="Arial"/>
          <w:spacing w:val="-2"/>
          <w:sz w:val="24"/>
          <w:lang w:val="haw-US"/>
        </w:rPr>
        <w:t xml:space="preserve">agency </w:t>
      </w:r>
      <w:r w:rsidRPr="00DB56A4">
        <w:rPr>
          <w:rFonts w:ascii="Arial" w:hAnsi="Arial" w:cs="Arial"/>
          <w:spacing w:val="-2"/>
          <w:sz w:val="24"/>
        </w:rPr>
        <w:t>shall acknowledge the receipt of the request for appeal within 10 calendar days.</w:t>
      </w:r>
    </w:p>
    <w:p w:rsidR="00AD201B" w:rsidRPr="00DB56A4" w:rsidRDefault="00AD201B" w:rsidP="00AD201B">
      <w:pPr>
        <w:tabs>
          <w:tab w:val="left" w:pos="-720"/>
        </w:tabs>
        <w:suppressAutoHyphens/>
        <w:rPr>
          <w:rFonts w:ascii="Arial" w:hAnsi="Arial" w:cs="Arial"/>
          <w:spacing w:val="-2"/>
          <w:sz w:val="24"/>
        </w:rPr>
      </w:pPr>
    </w:p>
    <w:p w:rsidR="00DB56A4" w:rsidRPr="007964EA" w:rsidRDefault="00AD201B" w:rsidP="007964EA">
      <w:pPr>
        <w:tabs>
          <w:tab w:val="left" w:pos="-720"/>
          <w:tab w:val="left" w:pos="0"/>
        </w:tabs>
        <w:suppressAutoHyphens/>
        <w:ind w:left="720" w:hanging="720"/>
        <w:rPr>
          <w:rFonts w:ascii="Arial" w:hAnsi="Arial" w:cs="Arial"/>
          <w:spacing w:val="-2"/>
          <w:sz w:val="24"/>
        </w:rPr>
      </w:pPr>
      <w:r w:rsidRPr="00DB56A4">
        <w:rPr>
          <w:rFonts w:ascii="Arial" w:hAnsi="Arial" w:cs="Arial"/>
          <w:spacing w:val="-2"/>
          <w:sz w:val="24"/>
        </w:rPr>
        <w:t>3.</w:t>
      </w:r>
      <w:r w:rsidRPr="00DB56A4">
        <w:rPr>
          <w:rFonts w:ascii="Arial" w:hAnsi="Arial" w:cs="Arial"/>
          <w:spacing w:val="-2"/>
          <w:sz w:val="24"/>
        </w:rPr>
        <w:tab/>
        <w:t xml:space="preserve">The appellant may refute the charges contained in the notice of action in person and by written documentation to the review official.  In order to be considered, written documentation must be filed with the review official </w:t>
      </w:r>
      <w:r w:rsidR="00EE28BD">
        <w:rPr>
          <w:rFonts w:ascii="Arial" w:hAnsi="Arial" w:cs="Arial"/>
          <w:spacing w:val="-2"/>
          <w:sz w:val="24"/>
          <w:lang w:val="haw-US"/>
        </w:rPr>
        <w:t xml:space="preserve">and the State agency </w:t>
      </w:r>
      <w:r w:rsidRPr="00DB56A4">
        <w:rPr>
          <w:rFonts w:ascii="Arial" w:hAnsi="Arial" w:cs="Arial"/>
          <w:spacing w:val="-2"/>
          <w:sz w:val="24"/>
        </w:rPr>
        <w:t xml:space="preserve">no later than </w:t>
      </w:r>
      <w:r w:rsidR="00EE28BD">
        <w:rPr>
          <w:rFonts w:ascii="Arial" w:hAnsi="Arial" w:cs="Arial"/>
          <w:spacing w:val="-2"/>
          <w:sz w:val="24"/>
          <w:lang w:val="haw-US"/>
        </w:rPr>
        <w:t>45</w:t>
      </w:r>
      <w:r w:rsidRPr="00DB56A4">
        <w:rPr>
          <w:rFonts w:ascii="Arial" w:hAnsi="Arial" w:cs="Arial"/>
          <w:spacing w:val="-2"/>
          <w:sz w:val="24"/>
        </w:rPr>
        <w:t xml:space="preserve"> calendar days after the appellant received the </w:t>
      </w:r>
      <w:r w:rsidR="00EE28BD">
        <w:rPr>
          <w:rFonts w:ascii="Arial" w:hAnsi="Arial" w:cs="Arial"/>
          <w:spacing w:val="-2"/>
          <w:sz w:val="24"/>
          <w:lang w:val="haw-US"/>
        </w:rPr>
        <w:t xml:space="preserve">original </w:t>
      </w:r>
      <w:r w:rsidRPr="00DB56A4">
        <w:rPr>
          <w:rFonts w:ascii="Arial" w:hAnsi="Arial" w:cs="Arial"/>
          <w:spacing w:val="-2"/>
          <w:sz w:val="24"/>
        </w:rPr>
        <w:t xml:space="preserve">notice of action.  </w:t>
      </w:r>
      <w:r w:rsidR="00D75A29">
        <w:rPr>
          <w:rFonts w:ascii="Arial" w:hAnsi="Arial" w:cs="Arial"/>
          <w:spacing w:val="-2"/>
          <w:sz w:val="24"/>
          <w:lang w:val="haw-US"/>
        </w:rPr>
        <w:t xml:space="preserve">No additional documentation or new arguments may be introduced after the 45th calendar day deadline noted above.  </w:t>
      </w:r>
      <w:r w:rsidRPr="00DB56A4">
        <w:rPr>
          <w:rFonts w:ascii="Arial" w:hAnsi="Arial" w:cs="Arial"/>
          <w:spacing w:val="-2"/>
          <w:sz w:val="24"/>
        </w:rPr>
        <w:t xml:space="preserve">The appellant may retain legal counsel, or may be represented by another person. </w:t>
      </w:r>
      <w:r w:rsidR="00D75A29">
        <w:rPr>
          <w:rFonts w:ascii="Arial" w:hAnsi="Arial" w:cs="Arial"/>
          <w:spacing w:val="-2"/>
          <w:sz w:val="24"/>
          <w:lang w:val="haw-US"/>
        </w:rPr>
        <w:t xml:space="preserve"> </w:t>
      </w:r>
      <w:r w:rsidRPr="00DB56A4">
        <w:rPr>
          <w:rFonts w:ascii="Arial" w:hAnsi="Arial" w:cs="Arial"/>
          <w:spacing w:val="-2"/>
          <w:sz w:val="24"/>
        </w:rPr>
        <w:t>A hearing shall be held by the review official in addition to, or in lieu of, a review of written information submitted by the appellant only if the appellant so specifies in the letter of request for review.  Failure of the appellant institution's representative to appear at a scheduled hearing shall constitute the appellant institution's waiver of the right to a personal appearance before the review official, unless the review official agrees to reschedule the hearing.  A representative of the State agency shall be allowed to attend the hearing to respond to the appellant's testimony and to answer questions posed by the review official.</w:t>
      </w:r>
    </w:p>
    <w:p w:rsidR="00825810" w:rsidRPr="00825810" w:rsidRDefault="00825810" w:rsidP="00825810">
      <w:pPr>
        <w:tabs>
          <w:tab w:val="left" w:pos="-720"/>
          <w:tab w:val="left" w:pos="0"/>
        </w:tabs>
        <w:suppressAutoHyphens/>
        <w:jc w:val="both"/>
        <w:rPr>
          <w:rFonts w:ascii="Arial" w:hAnsi="Arial" w:cs="Arial"/>
          <w:spacing w:val="-2"/>
          <w:sz w:val="24"/>
        </w:rPr>
      </w:pPr>
    </w:p>
    <w:p w:rsidR="00D75A29" w:rsidRPr="003539B2" w:rsidRDefault="00D75A29" w:rsidP="00AD201B">
      <w:pPr>
        <w:numPr>
          <w:ilvl w:val="0"/>
          <w:numId w:val="1"/>
        </w:numPr>
        <w:tabs>
          <w:tab w:val="left" w:pos="-720"/>
          <w:tab w:val="left" w:pos="0"/>
        </w:tabs>
        <w:suppressAutoHyphens/>
        <w:rPr>
          <w:rFonts w:ascii="Arial" w:hAnsi="Arial" w:cs="Arial"/>
          <w:spacing w:val="-2"/>
          <w:sz w:val="24"/>
        </w:rPr>
      </w:pPr>
      <w:r>
        <w:rPr>
          <w:rFonts w:ascii="Arial" w:hAnsi="Arial" w:cs="Arial"/>
          <w:spacing w:val="-2"/>
          <w:sz w:val="24"/>
          <w:lang w:val="haw-US"/>
        </w:rPr>
        <w:lastRenderedPageBreak/>
        <w:t>The State agency may retain legal counsel or an independent advisor.  The State agency retains the right to provide additional documentation in response to the appellantʻs written documentation.  Following accepted mediation practices,the appellant and the State agency wil  sp</w:t>
      </w:r>
      <w:r w:rsidR="003539B2">
        <w:rPr>
          <w:rFonts w:ascii="Arial" w:hAnsi="Arial" w:cs="Arial"/>
          <w:spacing w:val="-2"/>
          <w:sz w:val="24"/>
          <w:lang w:val="haw-US"/>
        </w:rPr>
        <w:t>lit the cost of the the review official regardless of the outcome of the appeal.</w:t>
      </w:r>
    </w:p>
    <w:p w:rsidR="003539B2" w:rsidRDefault="003539B2" w:rsidP="003539B2">
      <w:pPr>
        <w:tabs>
          <w:tab w:val="left" w:pos="-720"/>
          <w:tab w:val="left" w:pos="0"/>
        </w:tabs>
        <w:suppressAutoHyphens/>
        <w:rPr>
          <w:rFonts w:ascii="Arial" w:hAnsi="Arial" w:cs="Arial"/>
          <w:spacing w:val="-2"/>
          <w:sz w:val="24"/>
        </w:rPr>
      </w:pPr>
    </w:p>
    <w:p w:rsidR="007964EA" w:rsidRPr="003539B2" w:rsidRDefault="00AD201B" w:rsidP="003539B2">
      <w:pPr>
        <w:numPr>
          <w:ilvl w:val="0"/>
          <w:numId w:val="1"/>
        </w:numPr>
        <w:tabs>
          <w:tab w:val="left" w:pos="-720"/>
          <w:tab w:val="left" w:pos="0"/>
        </w:tabs>
        <w:suppressAutoHyphens/>
        <w:rPr>
          <w:rFonts w:ascii="Arial" w:hAnsi="Arial" w:cs="Arial"/>
          <w:spacing w:val="-2"/>
          <w:sz w:val="24"/>
        </w:rPr>
      </w:pPr>
      <w:r w:rsidRPr="00DB56A4">
        <w:rPr>
          <w:rFonts w:ascii="Arial" w:hAnsi="Arial" w:cs="Arial"/>
          <w:spacing w:val="-2"/>
          <w:sz w:val="24"/>
        </w:rPr>
        <w:t>If the appellant has requested a hearing, the appellant and the State agency shall be provided with at least 10 calendar days advance written notice, sent by certified mail, return receipt requested, of the time and place of the hearing.</w:t>
      </w:r>
    </w:p>
    <w:p w:rsidR="00420E53" w:rsidRPr="00DB56A4" w:rsidRDefault="00420E53" w:rsidP="00420E53">
      <w:pPr>
        <w:tabs>
          <w:tab w:val="left" w:pos="-720"/>
          <w:tab w:val="left" w:pos="0"/>
        </w:tabs>
        <w:suppressAutoHyphens/>
        <w:rPr>
          <w:rFonts w:ascii="Arial" w:hAnsi="Arial" w:cs="Arial"/>
          <w:spacing w:val="-2"/>
          <w:sz w:val="24"/>
        </w:rPr>
      </w:pPr>
    </w:p>
    <w:p w:rsidR="008A4A76" w:rsidRPr="00DB56A4" w:rsidRDefault="00420E53" w:rsidP="00AD201B">
      <w:pPr>
        <w:numPr>
          <w:ilvl w:val="0"/>
          <w:numId w:val="1"/>
        </w:numPr>
        <w:tabs>
          <w:tab w:val="left" w:pos="-720"/>
          <w:tab w:val="left" w:pos="0"/>
        </w:tabs>
        <w:suppressAutoHyphens/>
        <w:rPr>
          <w:rFonts w:ascii="Arial" w:hAnsi="Arial" w:cs="Arial"/>
          <w:spacing w:val="-2"/>
          <w:sz w:val="24"/>
        </w:rPr>
      </w:pPr>
      <w:r w:rsidRPr="00DB56A4">
        <w:rPr>
          <w:rFonts w:ascii="Arial" w:hAnsi="Arial" w:cs="Arial"/>
          <w:spacing w:val="-2"/>
          <w:sz w:val="24"/>
        </w:rPr>
        <w:t xml:space="preserve">Any information on which the State agency's action was based shall be available to the appellant for inspection from the date of receipt of the </w:t>
      </w:r>
      <w:r w:rsidR="003539B2">
        <w:rPr>
          <w:rFonts w:ascii="Arial" w:hAnsi="Arial" w:cs="Arial"/>
          <w:spacing w:val="-2"/>
          <w:sz w:val="24"/>
          <w:lang w:val="haw-US"/>
        </w:rPr>
        <w:t>scheduled hearing</w:t>
      </w:r>
      <w:r w:rsidRPr="00DB56A4">
        <w:rPr>
          <w:rFonts w:ascii="Arial" w:hAnsi="Arial" w:cs="Arial"/>
          <w:spacing w:val="-2"/>
          <w:sz w:val="24"/>
        </w:rPr>
        <w:t>.</w:t>
      </w:r>
    </w:p>
    <w:p w:rsidR="008A4A76" w:rsidRPr="005E7A68" w:rsidRDefault="008A4A76" w:rsidP="00AD201B">
      <w:pPr>
        <w:rPr>
          <w:rFonts w:ascii="Arial" w:hAnsi="Arial" w:cs="Arial"/>
          <w:spacing w:val="-2"/>
          <w:sz w:val="22"/>
        </w:rPr>
      </w:pPr>
    </w:p>
    <w:p w:rsidR="00AD201B" w:rsidRPr="00DB56A4" w:rsidRDefault="00AD201B" w:rsidP="00AD201B">
      <w:pPr>
        <w:pStyle w:val="ListParagraph"/>
        <w:numPr>
          <w:ilvl w:val="0"/>
          <w:numId w:val="1"/>
        </w:numPr>
        <w:tabs>
          <w:tab w:val="left" w:pos="-720"/>
          <w:tab w:val="left" w:pos="0"/>
        </w:tabs>
        <w:suppressAutoHyphens/>
        <w:rPr>
          <w:rFonts w:ascii="Arial" w:hAnsi="Arial" w:cs="Arial"/>
          <w:spacing w:val="-2"/>
          <w:sz w:val="24"/>
        </w:rPr>
      </w:pPr>
      <w:r w:rsidRPr="00DB56A4">
        <w:rPr>
          <w:rFonts w:ascii="Arial" w:hAnsi="Arial" w:cs="Arial"/>
          <w:sz w:val="24"/>
          <w:szCs w:val="22"/>
        </w:rPr>
        <w:t>The review official shall be independent and impartial official other than, and not accountable to, any person authorized to make decisions that are subject to appeal under the provisions of this section.</w:t>
      </w:r>
    </w:p>
    <w:p w:rsidR="00AD201B" w:rsidRPr="00825810" w:rsidRDefault="00AD201B" w:rsidP="00AD201B">
      <w:pPr>
        <w:tabs>
          <w:tab w:val="left" w:pos="-720"/>
          <w:tab w:val="left" w:pos="0"/>
        </w:tabs>
        <w:suppressAutoHyphens/>
        <w:rPr>
          <w:rFonts w:ascii="Arial" w:hAnsi="Arial" w:cs="Arial"/>
          <w:spacing w:val="-2"/>
          <w:sz w:val="24"/>
          <w:szCs w:val="24"/>
        </w:rPr>
      </w:pPr>
    </w:p>
    <w:p w:rsidR="005E7A68" w:rsidRPr="00DB56A4" w:rsidRDefault="00AD201B" w:rsidP="005E7A68">
      <w:pPr>
        <w:pStyle w:val="BodyTextIndent2"/>
        <w:numPr>
          <w:ilvl w:val="0"/>
          <w:numId w:val="1"/>
        </w:numPr>
        <w:rPr>
          <w:rFonts w:ascii="Arial" w:hAnsi="Arial" w:cs="Arial"/>
          <w:sz w:val="24"/>
        </w:rPr>
      </w:pPr>
      <w:r w:rsidRPr="00DB56A4">
        <w:rPr>
          <w:rFonts w:ascii="Arial" w:hAnsi="Arial" w:cs="Arial"/>
          <w:sz w:val="24"/>
        </w:rPr>
        <w:t>The review official shall make a determination based on information provided by the State agency and the appella</w:t>
      </w:r>
      <w:r w:rsidR="005E7A68" w:rsidRPr="00DB56A4">
        <w:rPr>
          <w:rFonts w:ascii="Arial" w:hAnsi="Arial" w:cs="Arial"/>
          <w:sz w:val="24"/>
        </w:rPr>
        <w:t>nt, and on Program regulations.</w:t>
      </w:r>
    </w:p>
    <w:p w:rsidR="005E7A68" w:rsidRPr="00825810" w:rsidRDefault="005E7A68" w:rsidP="005E7A68">
      <w:pPr>
        <w:rPr>
          <w:rFonts w:ascii="Arial" w:hAnsi="Arial" w:cs="Arial"/>
          <w:sz w:val="24"/>
          <w:szCs w:val="24"/>
        </w:rPr>
      </w:pPr>
    </w:p>
    <w:p w:rsidR="00AD201B" w:rsidRPr="00DB56A4" w:rsidRDefault="00C13A55" w:rsidP="005E7A68">
      <w:pPr>
        <w:pStyle w:val="BodyTextIndent2"/>
        <w:numPr>
          <w:ilvl w:val="0"/>
          <w:numId w:val="1"/>
        </w:numPr>
        <w:rPr>
          <w:rFonts w:ascii="Arial" w:hAnsi="Arial" w:cs="Arial"/>
          <w:sz w:val="24"/>
        </w:rPr>
      </w:pPr>
      <w:r>
        <w:rPr>
          <w:rFonts w:ascii="Arial" w:hAnsi="Arial" w:cs="Arial"/>
          <w:sz w:val="24"/>
          <w:lang w:val="haw-US"/>
        </w:rPr>
        <w:t>T</w:t>
      </w:r>
      <w:r w:rsidRPr="00DB56A4">
        <w:rPr>
          <w:rFonts w:ascii="Arial" w:hAnsi="Arial" w:cs="Arial"/>
          <w:sz w:val="24"/>
        </w:rPr>
        <w:t>he review official shall inform the State agency and the appellant of the determination of the review</w:t>
      </w:r>
      <w:r>
        <w:rPr>
          <w:rFonts w:ascii="Arial" w:hAnsi="Arial" w:cs="Arial"/>
          <w:sz w:val="24"/>
          <w:lang w:val="haw-US"/>
        </w:rPr>
        <w:t xml:space="preserve"> </w:t>
      </w:r>
      <w:r w:rsidRPr="00DB56A4">
        <w:rPr>
          <w:rFonts w:ascii="Arial" w:hAnsi="Arial" w:cs="Arial"/>
          <w:sz w:val="24"/>
        </w:rPr>
        <w:t>within</w:t>
      </w:r>
      <w:r w:rsidR="00AD201B" w:rsidRPr="00DB56A4">
        <w:rPr>
          <w:rFonts w:ascii="Arial" w:hAnsi="Arial" w:cs="Arial"/>
          <w:sz w:val="24"/>
        </w:rPr>
        <w:t xml:space="preserve"> </w:t>
      </w:r>
      <w:r>
        <w:rPr>
          <w:rFonts w:ascii="Arial" w:hAnsi="Arial" w:cs="Arial"/>
          <w:sz w:val="24"/>
          <w:lang w:val="haw-US"/>
        </w:rPr>
        <w:t>12</w:t>
      </w:r>
      <w:r w:rsidR="00AD201B" w:rsidRPr="00DB56A4">
        <w:rPr>
          <w:rFonts w:ascii="Arial" w:hAnsi="Arial" w:cs="Arial"/>
          <w:sz w:val="24"/>
        </w:rPr>
        <w:t xml:space="preserve">0 calendar days </w:t>
      </w:r>
      <w:r>
        <w:rPr>
          <w:rFonts w:ascii="Arial" w:hAnsi="Arial" w:cs="Arial"/>
          <w:sz w:val="24"/>
          <w:lang w:val="haw-US"/>
        </w:rPr>
        <w:t>after completion of the appeal hearing by written notice,sent by certified mail, return receipt requested.  The final determination shall take effect upon receipt of the written notice of the final dec</w:t>
      </w:r>
      <w:r w:rsidR="00A80A24">
        <w:rPr>
          <w:rFonts w:ascii="Arial" w:hAnsi="Arial" w:cs="Arial"/>
          <w:sz w:val="24"/>
          <w:lang w:val="haw-US"/>
        </w:rPr>
        <w:t>ision by the Institution.</w:t>
      </w:r>
    </w:p>
    <w:p w:rsidR="00AD201B" w:rsidRPr="00DB56A4" w:rsidRDefault="00AD201B" w:rsidP="00AD201B">
      <w:pPr>
        <w:rPr>
          <w:rFonts w:ascii="Arial" w:hAnsi="Arial" w:cs="Arial"/>
          <w:spacing w:val="-2"/>
          <w:sz w:val="24"/>
        </w:rPr>
      </w:pPr>
    </w:p>
    <w:p w:rsidR="00AD201B" w:rsidRPr="00DB56A4" w:rsidRDefault="00AD201B" w:rsidP="00AD201B">
      <w:pPr>
        <w:pStyle w:val="ListParagraph"/>
        <w:numPr>
          <w:ilvl w:val="0"/>
          <w:numId w:val="1"/>
        </w:numPr>
        <w:tabs>
          <w:tab w:val="left" w:pos="-720"/>
          <w:tab w:val="left" w:pos="0"/>
        </w:tabs>
        <w:suppressAutoHyphens/>
        <w:rPr>
          <w:rFonts w:ascii="Arial" w:hAnsi="Arial" w:cs="Arial"/>
          <w:spacing w:val="-2"/>
          <w:sz w:val="24"/>
        </w:rPr>
      </w:pPr>
      <w:r w:rsidRPr="00DB56A4">
        <w:rPr>
          <w:rFonts w:ascii="Arial" w:hAnsi="Arial" w:cs="Arial"/>
          <w:spacing w:val="-2"/>
          <w:sz w:val="24"/>
        </w:rPr>
        <w:t>The State agency's action shall remain in effect during the appeal process.  However, participating institutions and facilities may continue to operate under the Program during an appeal of termination, unless the action is based on imminent dangers to the health and welfare of children.  If the institution or facility has been terminated for this reason, the State agency shall so specify in its notice of action.  Institutions electing to continue operating while appealing terminations shall not be reimbursed for any meals served during the period of the appeal if the State agency's action is upheld.</w:t>
      </w:r>
    </w:p>
    <w:p w:rsidR="00AD201B" w:rsidRPr="00DB56A4" w:rsidRDefault="00AD201B" w:rsidP="00AD201B">
      <w:pPr>
        <w:tabs>
          <w:tab w:val="left" w:pos="-720"/>
        </w:tabs>
        <w:suppressAutoHyphens/>
        <w:rPr>
          <w:rFonts w:ascii="Arial" w:hAnsi="Arial" w:cs="Arial"/>
          <w:spacing w:val="-2"/>
          <w:sz w:val="24"/>
        </w:rPr>
      </w:pPr>
    </w:p>
    <w:p w:rsidR="00AD201B" w:rsidRPr="00DB56A4" w:rsidRDefault="00AD201B" w:rsidP="00AD201B">
      <w:pPr>
        <w:pStyle w:val="ListParagraph"/>
        <w:numPr>
          <w:ilvl w:val="0"/>
          <w:numId w:val="1"/>
        </w:numPr>
        <w:tabs>
          <w:tab w:val="left" w:pos="-720"/>
          <w:tab w:val="left" w:pos="0"/>
        </w:tabs>
        <w:suppressAutoHyphens/>
        <w:rPr>
          <w:rFonts w:ascii="Arial" w:hAnsi="Arial" w:cs="Arial"/>
          <w:spacing w:val="-2"/>
          <w:sz w:val="24"/>
        </w:rPr>
      </w:pPr>
      <w:r w:rsidRPr="00DB56A4">
        <w:rPr>
          <w:rFonts w:ascii="Arial" w:hAnsi="Arial" w:cs="Arial"/>
          <w:spacing w:val="-2"/>
          <w:sz w:val="24"/>
        </w:rPr>
        <w:t>The determination by the State review official is the final administrative determination to be afforded to the appellant.</w:t>
      </w:r>
    </w:p>
    <w:p w:rsidR="00AD201B" w:rsidRPr="00DB56A4" w:rsidRDefault="00AD201B" w:rsidP="00AD201B">
      <w:pPr>
        <w:tabs>
          <w:tab w:val="left" w:pos="-720"/>
        </w:tabs>
        <w:suppressAutoHyphens/>
        <w:rPr>
          <w:rFonts w:ascii="Arial" w:hAnsi="Arial" w:cs="Arial"/>
          <w:spacing w:val="-2"/>
          <w:sz w:val="24"/>
        </w:rPr>
      </w:pPr>
    </w:p>
    <w:p w:rsidR="00AD201B" w:rsidRPr="00DB56A4" w:rsidRDefault="00AD201B" w:rsidP="00AD201B">
      <w:pPr>
        <w:pStyle w:val="ListParagraph"/>
        <w:numPr>
          <w:ilvl w:val="0"/>
          <w:numId w:val="1"/>
        </w:numPr>
        <w:tabs>
          <w:tab w:val="left" w:pos="-720"/>
          <w:tab w:val="left" w:pos="0"/>
        </w:tabs>
        <w:suppressAutoHyphens/>
        <w:rPr>
          <w:rFonts w:ascii="Arial" w:hAnsi="Arial" w:cs="Arial"/>
          <w:spacing w:val="-2"/>
          <w:sz w:val="24"/>
        </w:rPr>
      </w:pPr>
      <w:r w:rsidRPr="00DB56A4">
        <w:rPr>
          <w:rFonts w:ascii="Arial" w:hAnsi="Arial" w:cs="Arial"/>
          <w:spacing w:val="-2"/>
          <w:sz w:val="24"/>
        </w:rPr>
        <w:t>Appeals shall not be allowed on decisions made by FNS on requests for exceptions to the claims submission deadlines stated on § 226.10(e) or requests for upward adjustments to claims.</w:t>
      </w:r>
    </w:p>
    <w:p w:rsidR="00AD201B" w:rsidRPr="00DB56A4" w:rsidRDefault="00AD201B" w:rsidP="00AD201B">
      <w:pPr>
        <w:tabs>
          <w:tab w:val="left" w:pos="-720"/>
        </w:tabs>
        <w:suppressAutoHyphens/>
        <w:rPr>
          <w:rFonts w:ascii="Arial" w:hAnsi="Arial" w:cs="Arial"/>
          <w:spacing w:val="-2"/>
          <w:sz w:val="24"/>
        </w:rPr>
      </w:pPr>
    </w:p>
    <w:p w:rsidR="00A80A24" w:rsidRDefault="00AD201B" w:rsidP="00A80A24">
      <w:pPr>
        <w:pStyle w:val="ListParagraph"/>
        <w:numPr>
          <w:ilvl w:val="0"/>
          <w:numId w:val="1"/>
        </w:numPr>
        <w:tabs>
          <w:tab w:val="left" w:pos="-720"/>
          <w:tab w:val="left" w:pos="0"/>
        </w:tabs>
        <w:suppressAutoHyphens/>
        <w:rPr>
          <w:rFonts w:ascii="Arial" w:hAnsi="Arial" w:cs="Arial"/>
          <w:spacing w:val="-2"/>
          <w:sz w:val="24"/>
        </w:rPr>
      </w:pPr>
      <w:r w:rsidRPr="00DB56A4">
        <w:rPr>
          <w:rFonts w:ascii="Arial" w:hAnsi="Arial" w:cs="Arial"/>
          <w:spacing w:val="-2"/>
          <w:sz w:val="24"/>
        </w:rPr>
        <w:t>In cases where an appeal results in the dismissal of a claim against an institution which was asserted by the State agency based upon Federal audit findings.  FNS may assert a claim against the State agency in accordance with the procedures outlined in § 226.14(c).</w:t>
      </w:r>
    </w:p>
    <w:p w:rsidR="00A80A24" w:rsidRPr="00A80A24" w:rsidRDefault="00A80A24" w:rsidP="00A80A24">
      <w:pPr>
        <w:tabs>
          <w:tab w:val="left" w:pos="-720"/>
          <w:tab w:val="left" w:pos="0"/>
        </w:tabs>
        <w:suppressAutoHyphens/>
        <w:rPr>
          <w:rFonts w:ascii="Arial" w:hAnsi="Arial" w:cs="Arial"/>
          <w:spacing w:val="-2"/>
          <w:sz w:val="24"/>
        </w:rPr>
      </w:pPr>
    </w:p>
    <w:p w:rsidR="00A80A24" w:rsidRPr="00A80A24" w:rsidRDefault="00A80A24" w:rsidP="00A80A24">
      <w:pPr>
        <w:pStyle w:val="ListParagraph"/>
        <w:numPr>
          <w:ilvl w:val="0"/>
          <w:numId w:val="1"/>
        </w:numPr>
        <w:tabs>
          <w:tab w:val="left" w:pos="-720"/>
          <w:tab w:val="left" w:pos="0"/>
        </w:tabs>
        <w:suppressAutoHyphens/>
        <w:rPr>
          <w:rFonts w:ascii="Arial" w:hAnsi="Arial" w:cs="Arial"/>
          <w:spacing w:val="-2"/>
          <w:sz w:val="24"/>
        </w:rPr>
      </w:pPr>
      <w:r>
        <w:rPr>
          <w:rFonts w:ascii="Arial" w:hAnsi="Arial" w:cs="Arial"/>
          <w:spacing w:val="-2"/>
          <w:sz w:val="24"/>
          <w:lang w:val="haw-US"/>
        </w:rPr>
        <w:t>The designated review official will be an unbiased third party hearing official selected by the State agency and not affiliated with the State of Hawai’i Department of Education.</w:t>
      </w:r>
    </w:p>
    <w:p w:rsidR="00A80A24" w:rsidRPr="00A80A24" w:rsidRDefault="00A80A24" w:rsidP="00A80A24">
      <w:pPr>
        <w:tabs>
          <w:tab w:val="left" w:pos="-720"/>
          <w:tab w:val="left" w:pos="0"/>
        </w:tabs>
        <w:suppressAutoHyphens/>
        <w:rPr>
          <w:rFonts w:ascii="Arial" w:hAnsi="Arial" w:cs="Arial"/>
          <w:spacing w:val="-2"/>
          <w:sz w:val="24"/>
        </w:rPr>
      </w:pPr>
    </w:p>
    <w:p w:rsidR="00A80A24" w:rsidRDefault="00A80A24" w:rsidP="003D341A">
      <w:pPr>
        <w:tabs>
          <w:tab w:val="center" w:pos="5400"/>
        </w:tabs>
        <w:suppressAutoHyphens/>
        <w:rPr>
          <w:rFonts w:ascii="Arial" w:hAnsi="Arial" w:cs="Arial"/>
          <w:b/>
          <w:spacing w:val="-2"/>
          <w:sz w:val="24"/>
          <w:lang w:val="haw-US"/>
        </w:rPr>
      </w:pPr>
      <w:r w:rsidRPr="00A80A24">
        <w:rPr>
          <w:rFonts w:ascii="Arial" w:hAnsi="Arial" w:cs="Arial"/>
          <w:b/>
          <w:spacing w:val="-2"/>
          <w:sz w:val="24"/>
          <w:lang w:val="haw-US"/>
        </w:rPr>
        <w:lastRenderedPageBreak/>
        <w:t>USDA Nondiscrimination Statement:</w:t>
      </w:r>
    </w:p>
    <w:p w:rsidR="00A80A24" w:rsidRPr="00A80A24" w:rsidRDefault="00A80A24" w:rsidP="003D341A">
      <w:pPr>
        <w:tabs>
          <w:tab w:val="center" w:pos="5400"/>
        </w:tabs>
        <w:suppressAutoHyphens/>
        <w:rPr>
          <w:rFonts w:ascii="Helvetica" w:hAnsi="Helvetica" w:cs="Helvetica"/>
          <w:color w:val="1B1B1B"/>
          <w:sz w:val="24"/>
          <w:szCs w:val="24"/>
          <w:lang w:val="haw-US"/>
        </w:rPr>
      </w:pPr>
    </w:p>
    <w:p w:rsidR="003D341A" w:rsidRPr="003D341A" w:rsidRDefault="003D341A" w:rsidP="003D341A">
      <w:pPr>
        <w:tabs>
          <w:tab w:val="center" w:pos="5400"/>
        </w:tabs>
        <w:suppressAutoHyphens/>
        <w:rPr>
          <w:rFonts w:ascii="Helvetica" w:hAnsi="Helvetica" w:cs="Helvetica"/>
          <w:color w:val="1B1B1B"/>
          <w:sz w:val="24"/>
          <w:szCs w:val="24"/>
        </w:rPr>
      </w:pPr>
      <w:r w:rsidRPr="003D341A">
        <w:rPr>
          <w:rFonts w:ascii="Helvetica" w:hAnsi="Helvetica" w:cs="Helvetica"/>
          <w:color w:val="1B1B1B"/>
          <w:sz w:val="24"/>
          <w:szCs w:val="24"/>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3D341A" w:rsidRPr="003D341A" w:rsidRDefault="003D341A" w:rsidP="003D341A">
      <w:pPr>
        <w:tabs>
          <w:tab w:val="center" w:pos="5400"/>
        </w:tabs>
        <w:suppressAutoHyphens/>
        <w:rPr>
          <w:rFonts w:ascii="Helvetica" w:hAnsi="Helvetica" w:cs="Helvetica"/>
          <w:color w:val="1B1B1B"/>
          <w:sz w:val="24"/>
          <w:szCs w:val="24"/>
        </w:rPr>
      </w:pPr>
    </w:p>
    <w:p w:rsidR="003D341A" w:rsidRPr="003D341A" w:rsidRDefault="003D341A" w:rsidP="003D341A">
      <w:pPr>
        <w:tabs>
          <w:tab w:val="center" w:pos="5400"/>
        </w:tabs>
        <w:suppressAutoHyphens/>
        <w:rPr>
          <w:rFonts w:ascii="Helvetica" w:hAnsi="Helvetica" w:cs="Helvetica"/>
          <w:color w:val="1B1B1B"/>
          <w:sz w:val="24"/>
          <w:szCs w:val="24"/>
        </w:rPr>
      </w:pPr>
      <w:r w:rsidRPr="003D341A">
        <w:rPr>
          <w:rFonts w:ascii="Helvetica" w:hAnsi="Helvetica" w:cs="Helvetica"/>
          <w:color w:val="1B1B1B"/>
          <w:sz w:val="24"/>
          <w:szCs w:val="24"/>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3D341A" w:rsidRPr="003D341A" w:rsidRDefault="003D341A" w:rsidP="003D341A">
      <w:pPr>
        <w:tabs>
          <w:tab w:val="center" w:pos="5400"/>
        </w:tabs>
        <w:suppressAutoHyphens/>
        <w:rPr>
          <w:rFonts w:ascii="Helvetica" w:hAnsi="Helvetica" w:cs="Helvetica"/>
          <w:color w:val="1B1B1B"/>
          <w:sz w:val="24"/>
          <w:szCs w:val="24"/>
        </w:rPr>
      </w:pPr>
    </w:p>
    <w:p w:rsidR="003D341A" w:rsidRPr="003D341A" w:rsidRDefault="003D341A" w:rsidP="003D341A">
      <w:pPr>
        <w:tabs>
          <w:tab w:val="center" w:pos="5400"/>
        </w:tabs>
        <w:suppressAutoHyphens/>
        <w:rPr>
          <w:rFonts w:ascii="Helvetica" w:hAnsi="Helvetica" w:cs="Helvetica"/>
          <w:color w:val="1B1B1B"/>
          <w:sz w:val="24"/>
          <w:szCs w:val="24"/>
        </w:rPr>
      </w:pPr>
      <w:r w:rsidRPr="003D341A">
        <w:rPr>
          <w:rFonts w:ascii="Helvetica" w:hAnsi="Helvetica" w:cs="Helvetica"/>
          <w:color w:val="1B1B1B"/>
          <w:sz w:val="24"/>
          <w:szCs w:val="24"/>
        </w:rPr>
        <w:t>To file a program discrimination complaint, a Complainant should complete a Form AD-3027, USDA Program Discrimination Complaint Form which can be obtained online at: </w:t>
      </w:r>
      <w:hyperlink r:id="rId7" w:history="1">
        <w:r w:rsidRPr="003D341A">
          <w:rPr>
            <w:rStyle w:val="Hyperlink"/>
            <w:rFonts w:ascii="Helvetica" w:hAnsi="Helvetica" w:cs="Helvetica"/>
            <w:sz w:val="24"/>
            <w:szCs w:val="24"/>
          </w:rPr>
          <w:t>https://www.usda.gov/sites/default/files/documents/USDA-OASCR%20P-Complaint-Form-0508-0002-508-11-28-17Fax2Mail.pdf</w:t>
        </w:r>
      </w:hyperlink>
      <w:r w:rsidRPr="003D341A">
        <w:rPr>
          <w:rFonts w:ascii="Helvetica" w:hAnsi="Helvetica" w:cs="Helvetica"/>
          <w:color w:val="1B1B1B"/>
          <w:sz w:val="24"/>
          <w:szCs w:val="24"/>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3D341A" w:rsidRPr="003D341A" w:rsidRDefault="003D341A" w:rsidP="003D341A">
      <w:pPr>
        <w:tabs>
          <w:tab w:val="center" w:pos="5400"/>
        </w:tabs>
        <w:suppressAutoHyphens/>
        <w:rPr>
          <w:rFonts w:ascii="Helvetica" w:hAnsi="Helvetica" w:cs="Helvetica"/>
          <w:color w:val="1B1B1B"/>
          <w:sz w:val="24"/>
          <w:szCs w:val="24"/>
        </w:rPr>
      </w:pPr>
    </w:p>
    <w:p w:rsidR="003D341A" w:rsidRPr="003D341A" w:rsidRDefault="003D341A" w:rsidP="003D341A">
      <w:pPr>
        <w:numPr>
          <w:ilvl w:val="0"/>
          <w:numId w:val="5"/>
        </w:numPr>
        <w:tabs>
          <w:tab w:val="clear" w:pos="720"/>
          <w:tab w:val="num" w:pos="1080"/>
          <w:tab w:val="center" w:pos="5400"/>
        </w:tabs>
        <w:suppressAutoHyphens/>
        <w:rPr>
          <w:rFonts w:ascii="Helvetica" w:hAnsi="Helvetica" w:cs="Helvetica"/>
          <w:color w:val="1B1B1B"/>
          <w:sz w:val="24"/>
          <w:szCs w:val="24"/>
          <w:lang w:bidi="en-US"/>
        </w:rPr>
      </w:pPr>
      <w:r w:rsidRPr="003D341A">
        <w:rPr>
          <w:rFonts w:ascii="Helvetica" w:hAnsi="Helvetica" w:cs="Helvetica"/>
          <w:b/>
          <w:bCs/>
          <w:color w:val="1B1B1B"/>
          <w:sz w:val="24"/>
          <w:szCs w:val="24"/>
          <w:lang w:bidi="en-US"/>
        </w:rPr>
        <w:t>mail:</w:t>
      </w:r>
      <w:r w:rsidRPr="003D341A">
        <w:rPr>
          <w:rFonts w:ascii="Helvetica" w:hAnsi="Helvetica" w:cs="Helvetica"/>
          <w:color w:val="1B1B1B"/>
          <w:sz w:val="24"/>
          <w:szCs w:val="24"/>
          <w:lang w:bidi="en-US"/>
        </w:rPr>
        <w:br/>
        <w:t>U.S. Department of Agriculture</w:t>
      </w:r>
      <w:r w:rsidRPr="003D341A">
        <w:rPr>
          <w:rFonts w:ascii="Helvetica" w:hAnsi="Helvetica" w:cs="Helvetica"/>
          <w:color w:val="1B1B1B"/>
          <w:sz w:val="24"/>
          <w:szCs w:val="24"/>
          <w:lang w:bidi="en-US"/>
        </w:rPr>
        <w:br/>
        <w:t>Office of the Assistant Secretary for Civil Rights</w:t>
      </w:r>
      <w:r w:rsidRPr="003D341A">
        <w:rPr>
          <w:rFonts w:ascii="Helvetica" w:hAnsi="Helvetica" w:cs="Helvetica"/>
          <w:color w:val="1B1B1B"/>
          <w:sz w:val="24"/>
          <w:szCs w:val="24"/>
          <w:lang w:bidi="en-US"/>
        </w:rPr>
        <w:br/>
        <w:t>1400 Independence Avenue, SW</w:t>
      </w:r>
      <w:r w:rsidRPr="003D341A">
        <w:rPr>
          <w:rFonts w:ascii="Helvetica" w:hAnsi="Helvetica" w:cs="Helvetica"/>
          <w:color w:val="1B1B1B"/>
          <w:sz w:val="24"/>
          <w:szCs w:val="24"/>
          <w:lang w:bidi="en-US"/>
        </w:rPr>
        <w:br/>
        <w:t>Washington, D.C. 20250-9410; or</w:t>
      </w:r>
    </w:p>
    <w:p w:rsidR="003D341A" w:rsidRPr="003D341A" w:rsidRDefault="003D341A" w:rsidP="003D341A">
      <w:pPr>
        <w:numPr>
          <w:ilvl w:val="0"/>
          <w:numId w:val="5"/>
        </w:numPr>
        <w:tabs>
          <w:tab w:val="clear" w:pos="720"/>
          <w:tab w:val="num" w:pos="1080"/>
          <w:tab w:val="center" w:pos="5400"/>
        </w:tabs>
        <w:suppressAutoHyphens/>
        <w:rPr>
          <w:rFonts w:ascii="Helvetica" w:hAnsi="Helvetica" w:cs="Helvetica"/>
          <w:color w:val="1B1B1B"/>
          <w:sz w:val="24"/>
          <w:szCs w:val="24"/>
          <w:lang w:bidi="en-US"/>
        </w:rPr>
      </w:pPr>
      <w:r w:rsidRPr="003D341A">
        <w:rPr>
          <w:rFonts w:ascii="Helvetica" w:hAnsi="Helvetica" w:cs="Helvetica"/>
          <w:b/>
          <w:bCs/>
          <w:color w:val="1B1B1B"/>
          <w:sz w:val="24"/>
          <w:szCs w:val="24"/>
          <w:lang w:bidi="en-US"/>
        </w:rPr>
        <w:t>fax:</w:t>
      </w:r>
      <w:r w:rsidRPr="003D341A">
        <w:rPr>
          <w:rFonts w:ascii="Helvetica" w:hAnsi="Helvetica" w:cs="Helvetica"/>
          <w:color w:val="1B1B1B"/>
          <w:sz w:val="24"/>
          <w:szCs w:val="24"/>
          <w:lang w:bidi="en-US"/>
        </w:rPr>
        <w:br/>
        <w:t>(833) 256-1665 or (202) 690-7442; or</w:t>
      </w:r>
    </w:p>
    <w:p w:rsidR="003D341A" w:rsidRPr="003D341A" w:rsidRDefault="003D341A" w:rsidP="003D341A">
      <w:pPr>
        <w:numPr>
          <w:ilvl w:val="0"/>
          <w:numId w:val="5"/>
        </w:numPr>
        <w:tabs>
          <w:tab w:val="clear" w:pos="720"/>
          <w:tab w:val="num" w:pos="1080"/>
          <w:tab w:val="center" w:pos="5400"/>
        </w:tabs>
        <w:suppressAutoHyphens/>
        <w:rPr>
          <w:rFonts w:ascii="Helvetica" w:hAnsi="Helvetica" w:cs="Helvetica"/>
          <w:color w:val="1B1B1B"/>
          <w:sz w:val="24"/>
          <w:szCs w:val="24"/>
          <w:lang w:bidi="en-US"/>
        </w:rPr>
      </w:pPr>
      <w:r w:rsidRPr="003D341A">
        <w:rPr>
          <w:rFonts w:ascii="Helvetica" w:hAnsi="Helvetica" w:cs="Helvetica"/>
          <w:b/>
          <w:bCs/>
          <w:color w:val="1B1B1B"/>
          <w:sz w:val="24"/>
          <w:szCs w:val="24"/>
          <w:lang w:bidi="en-US"/>
        </w:rPr>
        <w:t>email:</w:t>
      </w:r>
      <w:r w:rsidRPr="003D341A">
        <w:rPr>
          <w:rFonts w:ascii="Helvetica" w:hAnsi="Helvetica" w:cs="Helvetica"/>
          <w:color w:val="1B1B1B"/>
          <w:sz w:val="24"/>
          <w:szCs w:val="24"/>
          <w:lang w:bidi="en-US"/>
        </w:rPr>
        <w:br/>
      </w:r>
      <w:hyperlink r:id="rId8" w:history="1">
        <w:r w:rsidRPr="003D341A">
          <w:rPr>
            <w:rStyle w:val="Hyperlink"/>
            <w:rFonts w:ascii="Helvetica" w:hAnsi="Helvetica" w:cs="Helvetica"/>
            <w:sz w:val="24"/>
            <w:szCs w:val="24"/>
            <w:lang w:bidi="en-US"/>
          </w:rPr>
          <w:t>program.intake@usda.gov</w:t>
        </w:r>
      </w:hyperlink>
    </w:p>
    <w:p w:rsidR="003D341A" w:rsidRPr="003D341A" w:rsidRDefault="003D341A" w:rsidP="003D341A">
      <w:pPr>
        <w:tabs>
          <w:tab w:val="center" w:pos="5400"/>
        </w:tabs>
        <w:suppressAutoHyphens/>
        <w:rPr>
          <w:rFonts w:ascii="Helvetica" w:hAnsi="Helvetica" w:cs="Helvetica"/>
          <w:color w:val="1B1B1B"/>
          <w:sz w:val="24"/>
          <w:szCs w:val="24"/>
          <w:lang w:bidi="en-US"/>
        </w:rPr>
      </w:pPr>
    </w:p>
    <w:p w:rsidR="00420E53" w:rsidRPr="00A80A24" w:rsidRDefault="003D341A" w:rsidP="00A80A24">
      <w:pPr>
        <w:tabs>
          <w:tab w:val="center" w:pos="5400"/>
        </w:tabs>
        <w:suppressAutoHyphens/>
        <w:rPr>
          <w:rFonts w:ascii="Helvetica" w:hAnsi="Helvetica" w:cs="Helvetica"/>
          <w:color w:val="1B1B1B"/>
          <w:sz w:val="24"/>
          <w:szCs w:val="24"/>
          <w:lang w:bidi="en-US"/>
        </w:rPr>
      </w:pPr>
      <w:r w:rsidRPr="003D341A">
        <w:rPr>
          <w:rFonts w:ascii="Helvetica" w:hAnsi="Helvetica" w:cs="Helvetica"/>
          <w:color w:val="1B1B1B"/>
          <w:sz w:val="24"/>
          <w:szCs w:val="24"/>
          <w:lang w:bidi="en-US"/>
        </w:rPr>
        <w:t>This institution is an equal opportunity provider.</w:t>
      </w:r>
    </w:p>
    <w:sectPr w:rsidR="00420E53" w:rsidRPr="00A80A24" w:rsidSect="00420E53">
      <w:headerReference w:type="default" r:id="rId9"/>
      <w:footerReference w:type="default" r:id="rId10"/>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231" w:rsidRDefault="00C46231" w:rsidP="005E7A68">
      <w:r>
        <w:separator/>
      </w:r>
    </w:p>
  </w:endnote>
  <w:endnote w:type="continuationSeparator" w:id="0">
    <w:p w:rsidR="00C46231" w:rsidRDefault="00C46231" w:rsidP="005E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A68" w:rsidRPr="003539B2" w:rsidRDefault="00456BB1" w:rsidP="00456BB1">
    <w:pPr>
      <w:pStyle w:val="Footer"/>
      <w:jc w:val="right"/>
      <w:rPr>
        <w:sz w:val="22"/>
        <w:szCs w:val="22"/>
        <w:lang w:val="haw-US"/>
      </w:rPr>
    </w:pPr>
    <w:r>
      <w:rPr>
        <w:sz w:val="22"/>
        <w:szCs w:val="22"/>
      </w:rPr>
      <w:t xml:space="preserve">Revised </w:t>
    </w:r>
    <w:r w:rsidR="003539B2">
      <w:rPr>
        <w:sz w:val="22"/>
        <w:szCs w:val="22"/>
        <w:lang w:val="haw-US"/>
      </w:rPr>
      <w:t>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231" w:rsidRDefault="00C46231" w:rsidP="005E7A68">
      <w:r>
        <w:separator/>
      </w:r>
    </w:p>
  </w:footnote>
  <w:footnote w:type="continuationSeparator" w:id="0">
    <w:p w:rsidR="00C46231" w:rsidRDefault="00C46231" w:rsidP="005E7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20A" w:rsidRPr="007D720A" w:rsidRDefault="007964EA" w:rsidP="007964EA">
    <w:pPr>
      <w:pStyle w:val="Header"/>
      <w:rPr>
        <w:rFonts w:ascii="Arial" w:hAnsi="Arial" w:cs="Arial"/>
        <w:sz w:val="24"/>
        <w:szCs w:val="24"/>
      </w:rPr>
    </w:pPr>
    <w:r w:rsidRPr="007964EA">
      <w:rPr>
        <w:rFonts w:ascii="Calibri" w:eastAsia="Calibri" w:hAnsi="Calibri" w:cs="Calibri"/>
        <w:noProof/>
        <w:sz w:val="22"/>
        <w:szCs w:val="22"/>
        <w:lang w:bidi="en-US"/>
      </w:rPr>
      <w:drawing>
        <wp:anchor distT="0" distB="0" distL="114300" distR="114300" simplePos="0" relativeHeight="251659264" behindDoc="0" locked="0" layoutInCell="1" allowOverlap="1" wp14:anchorId="54E7C30F" wp14:editId="5A33032B">
          <wp:simplePos x="0" y="0"/>
          <wp:positionH relativeFrom="margin">
            <wp:posOffset>140970</wp:posOffset>
          </wp:positionH>
          <wp:positionV relativeFrom="paragraph">
            <wp:posOffset>6350</wp:posOffset>
          </wp:positionV>
          <wp:extent cx="1562100" cy="584200"/>
          <wp:effectExtent l="0" t="0" r="0" b="6350"/>
          <wp:wrapThrough wrapText="bothSides">
            <wp:wrapPolygon edited="0">
              <wp:start x="0" y="0"/>
              <wp:lineTo x="0" y="21130"/>
              <wp:lineTo x="21337" y="21130"/>
              <wp:lineTo x="2133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PEG version.jpg"/>
                  <pic:cNvPicPr/>
                </pic:nvPicPr>
                <pic:blipFill rotWithShape="1">
                  <a:blip r:embed="rId1" cstate="print">
                    <a:extLst>
                      <a:ext uri="{28A0092B-C50C-407E-A947-70E740481C1C}">
                        <a14:useLocalDpi xmlns:a14="http://schemas.microsoft.com/office/drawing/2010/main" val="0"/>
                      </a:ext>
                    </a:extLst>
                  </a:blip>
                  <a:srcRect b="38992"/>
                  <a:stretch/>
                </pic:blipFill>
                <pic:spPr bwMode="auto">
                  <a:xfrm>
                    <a:off x="0" y="0"/>
                    <a:ext cx="1562100" cy="584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720A" w:rsidRPr="007D720A">
      <w:rPr>
        <w:rFonts w:ascii="Arial" w:hAnsi="Arial" w:cs="Arial"/>
        <w:sz w:val="24"/>
        <w:szCs w:val="24"/>
      </w:rPr>
      <w:t>Hawaii Child Nutrition Programs</w:t>
    </w:r>
  </w:p>
  <w:p w:rsidR="007D720A" w:rsidRPr="007D720A" w:rsidRDefault="007D720A" w:rsidP="007964EA">
    <w:pPr>
      <w:pStyle w:val="Header"/>
      <w:rPr>
        <w:rFonts w:ascii="Arial" w:hAnsi="Arial" w:cs="Arial"/>
        <w:sz w:val="24"/>
        <w:szCs w:val="24"/>
      </w:rPr>
    </w:pPr>
    <w:r w:rsidRPr="007D720A">
      <w:rPr>
        <w:rFonts w:ascii="Arial" w:hAnsi="Arial" w:cs="Arial"/>
        <w:sz w:val="24"/>
        <w:szCs w:val="24"/>
      </w:rPr>
      <w:t xml:space="preserve">650 </w:t>
    </w:r>
    <w:proofErr w:type="spellStart"/>
    <w:r w:rsidRPr="007D720A">
      <w:rPr>
        <w:rFonts w:ascii="Arial" w:hAnsi="Arial" w:cs="Arial"/>
        <w:sz w:val="24"/>
        <w:szCs w:val="24"/>
      </w:rPr>
      <w:t>Iwilei</w:t>
    </w:r>
    <w:proofErr w:type="spellEnd"/>
    <w:r w:rsidRPr="007D720A">
      <w:rPr>
        <w:rFonts w:ascii="Arial" w:hAnsi="Arial" w:cs="Arial"/>
        <w:sz w:val="24"/>
        <w:szCs w:val="24"/>
      </w:rPr>
      <w:t xml:space="preserve"> Road Suite 270</w:t>
    </w:r>
  </w:p>
  <w:p w:rsidR="007D720A" w:rsidRDefault="007D720A" w:rsidP="007964EA">
    <w:pPr>
      <w:pStyle w:val="Header"/>
      <w:rPr>
        <w:rFonts w:ascii="Arial" w:hAnsi="Arial" w:cs="Arial"/>
        <w:sz w:val="24"/>
        <w:szCs w:val="24"/>
      </w:rPr>
    </w:pPr>
    <w:r w:rsidRPr="007D720A">
      <w:rPr>
        <w:rFonts w:ascii="Arial" w:hAnsi="Arial" w:cs="Arial"/>
        <w:sz w:val="24"/>
        <w:szCs w:val="24"/>
      </w:rPr>
      <w:t>Honolulu, Hawaii  96817</w:t>
    </w:r>
  </w:p>
  <w:p w:rsidR="007D720A" w:rsidRPr="008A4A76" w:rsidRDefault="007D720A" w:rsidP="007964EA">
    <w:pPr>
      <w:pStyle w:val="Header"/>
      <w:rPr>
        <w:rFonts w:ascii="Arial" w:hAnsi="Arial" w:cs="Arial"/>
        <w:sz w:val="24"/>
        <w:szCs w:val="24"/>
      </w:rPr>
    </w:pPr>
    <w:r>
      <w:rPr>
        <w:rFonts w:ascii="Arial" w:hAnsi="Arial" w:cs="Arial"/>
        <w:sz w:val="24"/>
        <w:szCs w:val="24"/>
      </w:rPr>
      <w:t>Phone: (808) 587-3600, Fax: (808) 587-3606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01ED2"/>
    <w:multiLevelType w:val="multilevel"/>
    <w:tmpl w:val="4CA24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B63274"/>
    <w:multiLevelType w:val="hybridMultilevel"/>
    <w:tmpl w:val="88F0E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68518B"/>
    <w:multiLevelType w:val="hybridMultilevel"/>
    <w:tmpl w:val="20A6E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A8A0842"/>
    <w:multiLevelType w:val="singleLevel"/>
    <w:tmpl w:val="A87E6674"/>
    <w:lvl w:ilvl="0">
      <w:start w:val="4"/>
      <w:numFmt w:val="decimal"/>
      <w:lvlText w:val="%1."/>
      <w:lvlJc w:val="left"/>
      <w:pPr>
        <w:tabs>
          <w:tab w:val="num" w:pos="720"/>
        </w:tabs>
        <w:ind w:left="720" w:hanging="720"/>
      </w:pPr>
      <w:rPr>
        <w:rFonts w:hint="default"/>
      </w:rPr>
    </w:lvl>
  </w:abstractNum>
  <w:abstractNum w:abstractNumId="4" w15:restartNumberingAfterBreak="0">
    <w:nsid w:val="7BC91978"/>
    <w:multiLevelType w:val="multilevel"/>
    <w:tmpl w:val="9790E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01B"/>
    <w:rsid w:val="00007835"/>
    <w:rsid w:val="0005358D"/>
    <w:rsid w:val="0007035F"/>
    <w:rsid w:val="00093F09"/>
    <w:rsid w:val="001141E7"/>
    <w:rsid w:val="00170674"/>
    <w:rsid w:val="00286EFB"/>
    <w:rsid w:val="003539B2"/>
    <w:rsid w:val="0038291B"/>
    <w:rsid w:val="003D341A"/>
    <w:rsid w:val="00420E53"/>
    <w:rsid w:val="0045629E"/>
    <w:rsid w:val="00456BB1"/>
    <w:rsid w:val="00485A46"/>
    <w:rsid w:val="00493430"/>
    <w:rsid w:val="004B459C"/>
    <w:rsid w:val="00513F42"/>
    <w:rsid w:val="00515467"/>
    <w:rsid w:val="005D3D03"/>
    <w:rsid w:val="005E7A68"/>
    <w:rsid w:val="005F710F"/>
    <w:rsid w:val="006263CB"/>
    <w:rsid w:val="006E1D5F"/>
    <w:rsid w:val="00711A3E"/>
    <w:rsid w:val="007964EA"/>
    <w:rsid w:val="007D720A"/>
    <w:rsid w:val="00825810"/>
    <w:rsid w:val="00831904"/>
    <w:rsid w:val="008538F1"/>
    <w:rsid w:val="008A4A76"/>
    <w:rsid w:val="008B1E6F"/>
    <w:rsid w:val="009410D3"/>
    <w:rsid w:val="00991346"/>
    <w:rsid w:val="009E4D9F"/>
    <w:rsid w:val="00A255BC"/>
    <w:rsid w:val="00A655F9"/>
    <w:rsid w:val="00A80A24"/>
    <w:rsid w:val="00AD201B"/>
    <w:rsid w:val="00BF1C7B"/>
    <w:rsid w:val="00C07F12"/>
    <w:rsid w:val="00C13A55"/>
    <w:rsid w:val="00C46231"/>
    <w:rsid w:val="00C53C7A"/>
    <w:rsid w:val="00CF3463"/>
    <w:rsid w:val="00D43D12"/>
    <w:rsid w:val="00D75A29"/>
    <w:rsid w:val="00DB56A4"/>
    <w:rsid w:val="00EE28BD"/>
    <w:rsid w:val="00EE7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D1F47"/>
  <w15:docId w15:val="{62D57030-E333-41FF-BCBC-236514E9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201B"/>
    <w:pPr>
      <w:spacing w:line="240" w:lineRule="auto"/>
      <w:jc w:val="left"/>
    </w:pPr>
    <w:rPr>
      <w:rFonts w:ascii="Tahoma" w:eastAsia="Times New Roman" w:hAnsi="Tahoma"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AD201B"/>
    <w:pPr>
      <w:tabs>
        <w:tab w:val="left" w:pos="-720"/>
        <w:tab w:val="left" w:pos="0"/>
      </w:tabs>
      <w:suppressAutoHyphens/>
      <w:ind w:left="720" w:hanging="720"/>
    </w:pPr>
    <w:rPr>
      <w:spacing w:val="-2"/>
      <w:sz w:val="22"/>
    </w:rPr>
  </w:style>
  <w:style w:type="character" w:customStyle="1" w:styleId="BodyTextIndent2Char">
    <w:name w:val="Body Text Indent 2 Char"/>
    <w:basedOn w:val="DefaultParagraphFont"/>
    <w:link w:val="BodyTextIndent2"/>
    <w:rsid w:val="00AD201B"/>
    <w:rPr>
      <w:rFonts w:ascii="Tahoma" w:eastAsia="Times New Roman" w:hAnsi="Tahoma" w:cs="Times New Roman"/>
      <w:spacing w:val="-2"/>
      <w:szCs w:val="20"/>
    </w:rPr>
  </w:style>
  <w:style w:type="paragraph" w:styleId="ListParagraph">
    <w:name w:val="List Paragraph"/>
    <w:basedOn w:val="Normal"/>
    <w:uiPriority w:val="34"/>
    <w:qFormat/>
    <w:rsid w:val="00AD201B"/>
    <w:pPr>
      <w:ind w:left="720"/>
    </w:pPr>
  </w:style>
  <w:style w:type="paragraph" w:styleId="BalloonText">
    <w:name w:val="Balloon Text"/>
    <w:basedOn w:val="Normal"/>
    <w:link w:val="BalloonTextChar"/>
    <w:uiPriority w:val="99"/>
    <w:semiHidden/>
    <w:unhideWhenUsed/>
    <w:rsid w:val="00AD201B"/>
    <w:rPr>
      <w:rFonts w:cs="Tahoma"/>
      <w:sz w:val="16"/>
      <w:szCs w:val="16"/>
    </w:rPr>
  </w:style>
  <w:style w:type="character" w:customStyle="1" w:styleId="BalloonTextChar">
    <w:name w:val="Balloon Text Char"/>
    <w:basedOn w:val="DefaultParagraphFont"/>
    <w:link w:val="BalloonText"/>
    <w:uiPriority w:val="99"/>
    <w:semiHidden/>
    <w:rsid w:val="00AD201B"/>
    <w:rPr>
      <w:rFonts w:ascii="Tahoma" w:eastAsia="Times New Roman" w:hAnsi="Tahoma" w:cs="Tahoma"/>
      <w:sz w:val="16"/>
      <w:szCs w:val="16"/>
    </w:rPr>
  </w:style>
  <w:style w:type="paragraph" w:styleId="Header">
    <w:name w:val="header"/>
    <w:basedOn w:val="Normal"/>
    <w:link w:val="HeaderChar"/>
    <w:uiPriority w:val="99"/>
    <w:unhideWhenUsed/>
    <w:rsid w:val="005E7A68"/>
    <w:pPr>
      <w:tabs>
        <w:tab w:val="center" w:pos="4680"/>
        <w:tab w:val="right" w:pos="9360"/>
      </w:tabs>
    </w:pPr>
  </w:style>
  <w:style w:type="character" w:customStyle="1" w:styleId="HeaderChar">
    <w:name w:val="Header Char"/>
    <w:basedOn w:val="DefaultParagraphFont"/>
    <w:link w:val="Header"/>
    <w:uiPriority w:val="99"/>
    <w:rsid w:val="005E7A68"/>
    <w:rPr>
      <w:rFonts w:ascii="Tahoma" w:eastAsia="Times New Roman" w:hAnsi="Tahoma" w:cs="Times New Roman"/>
      <w:sz w:val="28"/>
      <w:szCs w:val="20"/>
    </w:rPr>
  </w:style>
  <w:style w:type="paragraph" w:styleId="Footer">
    <w:name w:val="footer"/>
    <w:basedOn w:val="Normal"/>
    <w:link w:val="FooterChar"/>
    <w:uiPriority w:val="99"/>
    <w:unhideWhenUsed/>
    <w:rsid w:val="005E7A68"/>
    <w:pPr>
      <w:tabs>
        <w:tab w:val="center" w:pos="4680"/>
        <w:tab w:val="right" w:pos="9360"/>
      </w:tabs>
    </w:pPr>
  </w:style>
  <w:style w:type="character" w:customStyle="1" w:styleId="FooterChar">
    <w:name w:val="Footer Char"/>
    <w:basedOn w:val="DefaultParagraphFont"/>
    <w:link w:val="Footer"/>
    <w:uiPriority w:val="99"/>
    <w:rsid w:val="005E7A68"/>
    <w:rPr>
      <w:rFonts w:ascii="Tahoma" w:eastAsia="Times New Roman" w:hAnsi="Tahoma" w:cs="Times New Roman"/>
      <w:sz w:val="28"/>
      <w:szCs w:val="20"/>
    </w:rPr>
  </w:style>
  <w:style w:type="paragraph" w:styleId="NoSpacing">
    <w:name w:val="No Spacing"/>
    <w:basedOn w:val="Normal"/>
    <w:uiPriority w:val="1"/>
    <w:qFormat/>
    <w:rsid w:val="005E7A68"/>
    <w:rPr>
      <w:rFonts w:asciiTheme="minorHAnsi" w:eastAsiaTheme="minorHAnsi" w:hAnsiTheme="minorHAnsi"/>
      <w:color w:val="000000" w:themeColor="text1"/>
      <w:sz w:val="22"/>
      <w:lang w:eastAsia="ja-JP"/>
    </w:rPr>
  </w:style>
  <w:style w:type="character" w:styleId="Hyperlink">
    <w:name w:val="Hyperlink"/>
    <w:uiPriority w:val="99"/>
    <w:unhideWhenUsed/>
    <w:rsid w:val="00DB56A4"/>
    <w:rPr>
      <w:color w:val="0000FF"/>
      <w:u w:val="single"/>
    </w:rPr>
  </w:style>
  <w:style w:type="paragraph" w:customStyle="1" w:styleId="Default">
    <w:name w:val="Default"/>
    <w:rsid w:val="00DB56A4"/>
    <w:pPr>
      <w:autoSpaceDE w:val="0"/>
      <w:autoSpaceDN w:val="0"/>
      <w:adjustRightInd w:val="0"/>
      <w:spacing w:line="240" w:lineRule="auto"/>
      <w:jc w:val="left"/>
    </w:pPr>
    <w:rPr>
      <w:rFonts w:ascii="Times New Roman" w:eastAsia="Calibri" w:hAnsi="Times New Roman" w:cs="Times New Roman"/>
      <w:color w:val="000000"/>
      <w:sz w:val="24"/>
      <w:szCs w:val="24"/>
    </w:rPr>
  </w:style>
  <w:style w:type="paragraph" w:styleId="BodyText">
    <w:name w:val="Body Text"/>
    <w:basedOn w:val="Normal"/>
    <w:link w:val="BodyTextChar"/>
    <w:uiPriority w:val="99"/>
    <w:semiHidden/>
    <w:unhideWhenUsed/>
    <w:rsid w:val="003D341A"/>
    <w:pPr>
      <w:spacing w:after="120"/>
    </w:pPr>
  </w:style>
  <w:style w:type="character" w:customStyle="1" w:styleId="BodyTextChar">
    <w:name w:val="Body Text Char"/>
    <w:basedOn w:val="DefaultParagraphFont"/>
    <w:link w:val="BodyText"/>
    <w:uiPriority w:val="99"/>
    <w:semiHidden/>
    <w:rsid w:val="003D341A"/>
    <w:rPr>
      <w:rFonts w:ascii="Tahoma" w:eastAsia="Times New Roman" w:hAnsi="Tahoma" w:cs="Times New Roman"/>
      <w:sz w:val="28"/>
      <w:szCs w:val="20"/>
    </w:rPr>
  </w:style>
  <w:style w:type="character" w:styleId="UnresolvedMention">
    <w:name w:val="Unresolved Mention"/>
    <w:basedOn w:val="DefaultParagraphFont"/>
    <w:uiPriority w:val="99"/>
    <w:semiHidden/>
    <w:unhideWhenUsed/>
    <w:rsid w:val="003D3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791542">
      <w:bodyDiv w:val="1"/>
      <w:marLeft w:val="0"/>
      <w:marRight w:val="0"/>
      <w:marTop w:val="0"/>
      <w:marBottom w:val="0"/>
      <w:divBdr>
        <w:top w:val="none" w:sz="0" w:space="0" w:color="auto"/>
        <w:left w:val="none" w:sz="0" w:space="0" w:color="auto"/>
        <w:bottom w:val="none" w:sz="0" w:space="0" w:color="auto"/>
        <w:right w:val="none" w:sz="0" w:space="0" w:color="auto"/>
      </w:divBdr>
      <w:divsChild>
        <w:div w:id="1034692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3</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Appeal Procedure CACFP</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Procedure CACFP</dc:title>
  <dc:subject/>
  <dc:creator>Eleanore Fong-Severance</dc:creator>
  <cp:keywords/>
  <dc:description/>
  <cp:lastModifiedBy>Eleanore Fong-Severance</cp:lastModifiedBy>
  <cp:revision>5</cp:revision>
  <cp:lastPrinted>2012-01-06T19:21:00Z</cp:lastPrinted>
  <dcterms:created xsi:type="dcterms:W3CDTF">2024-12-18T22:23:00Z</dcterms:created>
  <dcterms:modified xsi:type="dcterms:W3CDTF">2024-12-19T02:07:00Z</dcterms:modified>
</cp:coreProperties>
</file>